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2014/45 vom 7. Februar 2005</w:t>
      </w:r>
    </w:p>
    <w:p>
      <w:r>
        <w:t>Sg Versicherungsgericht, 2005-02-07, DE</w:t>
      </w:r>
    </w:p>
    <w:p>
      <w:r>
        <w:rPr>
          <w:b/>
        </w:rPr>
        <w:t xml:space="preserve">Quelle: </w:t>
      </w:r>
      <w:r>
        <w:t>https://mcp.opencaselaw.ch/entscheid/sg_publikationen_IV 2014_45</w:t>
      </w:r>
    </w:p>
    <w:p>
      <w:r>
        <w:t>FR: SG_VERSICHERUNGSGERICHT IV 2014/45 du 7 février 2005</w:t>
      </w:r>
    </w:p>
    <w:p>
      <w:r>
        <w:t>IT: SG_VERSICHERUNGSGERICHT IV 2014/45 del 7 febbraio 2005</w:t>
      </w:r>
    </w:p>
    <w:p>
      <w:pPr>
        <w:pStyle w:val="Heading2"/>
      </w:pPr>
      <w:r>
        <w:t>Regeste</w:t>
      </w:r>
    </w:p>
    <w:p>
      <w:r>
        <w:t>Art. 28 IVG. Würdigung Gutachten. Gutachten beweiskräftig. Zumutbare Arbeitsfähigkeit bei somatoformer Schmerzstörung bestätigt. Keine Unverwertbarkeit der Restarbeitsfähigkeit. Kein rentenbegründender Invaliditätsgrad (Entscheid des Versicherungsgerichts des Kantons St. Gallen vom 16. August 2016, IV 2014/45).</w:t>
      </w:r>
    </w:p>
    <w:p>
      <w:pPr>
        <w:pStyle w:val="Heading2"/>
      </w:pPr>
      <w:r>
        <w:t>Erwägungen</w:t>
      </w:r>
    </w:p>
    <w:p>
      <w:r>
        <w:rPr>
          <w:b/>
        </w:rPr>
        <w:t>E. 1</w:t>
      </w:r>
    </w:p>
    <w:p>
      <w:r>
        <w:t>1.1  Zwischen den Parteien umstritten und nachfolgend zu prüfen ist der Rentenanspruch der Beschwerdeführerin. 1.2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Artikel 7 Absatz 2 ist sinngemäss anwendbar (Art. 8 Abs. 3 ATSG). Die Methode zur Bemessung der konkreten Unmöglichkeit, sich im Aufgabenbereich zu betätigen, wird vom ATSG nicht geregelt. Diese Lücke füllt Art. 28a Abs. 2 IVG. Danach ist darauf abzustellen, in welchem Mass die betreffende Person unfähig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27bis IVV).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Vorab ist die Frage zu beantworten, ob die medizinische Aktenlage eine rechtsgenügliche Beurteilung der Restarbeitsfähigkeit der Beschwerdeführerin erlaubt. 2.2  Die Beschwerdegegnerin stützte sich in der angefochtenen Verfügung auf das MGSG-Gutachten. Die Beschwerdeführerin hält dieses aus verschiedenen Gründen für nicht beweiskräftig. 2.2.1  Bei der Untersuchung seien bei der Beschwerdeführerin im unteren Lendenwirbelsäulenbereich zusätzliche Schmerzen aufgetreten. Es sei zu bezweifeln, dass die Untersuchung mit der gebotenen Sorgfalt und dem nötigen Respekt durchgeführt worden sei. Die Äusserungen des Gutachters, die Beschwerdeführerin zeige wenig Mitarbeit, sei in Anbetracht des Berichts von Dr. D.___ unglaubwürdig. Es sei anzunehmen, dass die Beschwerdeführerin so gut, wie dies aufgrund ihrer Schmerzen möglich gewesen sei mitgemacht habe (IV-act. 92-1). Es sei unzutreffend, dass sich die Beschwerdeführerin demonstrativ schmerzgeplagt gezeigt habe. Weiter werde bestritten, dass ihre Schmerzen vor allem in Verbindung mit emotionalen Konflikten oder psychosozialen Problemen auftreten würden (act. G 1, S. 8). 2.2.2  Die Gutachter halten im MGSG-Gutachten fest, dass die Beschwerdeführerin eine tiefe Schmerzschwelle aufweise und dadurch kaum zu untersuchen sei. So sei die Funktionsprüfung der Brustwirbelsäule nicht möglich, da massive Lendenwirbelsäulenschmerzen angegeben würden. Weiter könne die Stabilität der Schultern bei ungenügender Mitarbeit der Probandin nicht beurteilt werden. Auch die rohe Kraft der Arme und Beine könne bei ungenügender Compliance nicht beurteilt werden (IV-act. 86-5 f.). In der Beurteilung halten die Gutachter fest, das Ausmass der Nackenschmerzen und der subjektiven Einschränkung der körperlichen Leistungsfähigkeit sowie der demonstrierten abnormen Untersuchungsbefunde der Halswirbelsäule kontrastiere mit dem MRI-Befund der Halswirbelsäule, wo lediglich eine Ansatzreizung im Bereich des Processus spinosus C7/Th1 sichtbar sei. Das Ausmass der lumbalen Schmerzen und der pathologischen objektiven Befunde der Lendenwirbelsäule könne mit der im MRI dokumentierten mässigen Einengung des Neuroforamens L5/S1 rechts mit möglicher leichter Kompression der Nervenwurzel L5 rechts foraminal nach dynamischer minimal invasiver Distraktionsspondylodese L5/S1 beidseits 08/2011 nur unvollständig plausibilisiert werden (IV-act. 86-8). Dr. D.___ hält im Bericht vom 24. Mai 2013 fest, dass die Beschwerdeführerin zwei Tage zuvor begutachtet worden sei. Der Gutachter und ein Kollege hätten etwas stärker im Bereich der unauffälligen postoperativen Narbe gedrückt und wahrscheinlich die Beweglichkeit der Lendenwirbelsäule geprüft. Prompt seien Schmerzen im unteren Lendenwirbelsäulenbereich aufgetreten, die ursprünglich auch in die anderen Rückenpartien ausgestrahlt hätten und sich jetzt zum unteren Lendenwirbelsäulenbereich, mit Ausstrahlung in beide Beckenkämme, zurückgezogen hätten (IV-act. 92-2). Aus dem Bericht von Dr. D.___ lässt sich nicht ableiten, dass die gutachterliche Untersuchung nicht mit der gebotenen Sorgfalt und dem nötigen Respekt durchgeführt wurde. Ebenso geht aus dem Bericht von Dr. D.___ nichts hervor, was die Aussagen der Gutachter bezüglich der ungenügenden Mitarbeit in Frage stellen würde. 2.2.3  Im MGSG-Gutachten wird weiter festgehalten, aufgrund der anhaltenden Schmerzsymptomatik mit Symptomausweitung könne eine anhaltende somatoforme Schmerzstörung angenommen werden, bei der die Schmerzen durch eine organische Störung nicht ausreichend erklärt werden könnten. Der Schmerz trete in Verbindung mit emotionalen Konflikten oder psychosozialen Problemen auf. Bei der Beschwerdeführerin liessen sich vor allem psychosoziale Faktoren mit mangelnder Sprachbeherrschung und Verdacht auf mangelnde Integration erheben. Ausserdem sei ihr Ehemann erkrankt und beziehe eine IV-Rente (IV-act. 86-12). Weder aus dem Bericht von Dr. D.___ noch aus der Beschwerde gehen Anhaltspunkte hervor, die gegen die gutachterliche Beurteilung sprechen. Dabei ist insbesondere festzuhalten, dass entgegen den Ausführungen in der Beschwerde (vgl. act. G 1, S. 8) die Schmerzsymptomatik von den Gutachtern nicht allein bzw. überwiegend auf emotionale Konflikte und psychosoziale Faktoren zurückgeführt werden, sondern dass die Schmerzen lediglich mit emotionalen Konflikten und psychosozialen Problemen in Verbindung gebracht wurden. Vor diesem Hintergrund ist es auch unbeachtlich, ob die genannten Faktoren bereits im Jahr 2006 bestanden hatten. 2.2.4  Weiter ist es gemäss der Beschwerdeführerin nicht nachvollziehbar, dass der Gutachter das Ausmass der lumbalen Schmerzen und der pathologischen Befunde nicht für vollständig mit der im MRI dokumentierten mässigen Einengung erklärbar hält und insbesondere die von der Beschwerdeführerin angegebene Taubheit des rechten Beins mit den gestellten Diagnosen nicht objektivierbar sein soll. Organisch würden sich – wie die Befunde im Gutachten zeigten – nur die Beschwerden bezüglich der Halswirbelsäule nicht erklären lassen. Die Beschwerden im Lendenbereich bestünden dagegen anerkanntermassen seit 2006 und hätten trotz Operation nicht beseitigt werden können (act. G 1, S. 8). 2.2.5  Im Gutachten kommt klar zum Ausdruck, dass Beschwerden im Lendenbereich als vorhanden anerkannt werden. Es wird ein Status nach dynamischer minimal invasiver Distraktionsspondylodese L5/S1 beidseits 08/2011 mit mässiger Einengung des Neuroforamens L5/S1 rechts und möglicher leichter Kompression der Nervenwurzel L5 rechts foraminal diagnostiziert. Dabei stützte sich Dr. med. E.___, Facharzt FMH für orthopädische Chirurgie und Traumatologie des Bewegungsapparates im Wesentlichen auf das MRI der Lendenwirbelsäule vom 29. Mai 2013. Weiter hält der Gutachter fest, das Ausmass der lumbalen Schmerzen und der pathologischen objektiven Befunde der Lendenwirbelsäule könne mit der im MRI dokumentierten mässigen Einengung des Neuroforamens L5/S1 rechts mit möglicher leichter Kompression der Nervenwurzel L5 rechts foraminal nur unvollständig plausibilisiert werden. Nachdem lediglich die Nervenwurzel L5 rechts fraglich betroffen sei, könne die von der Beschwerdeführerin beschriebene Taubheit des gesamten rechten Beins nicht objektiviert werden. Weiter führt der orthopädische Gutachter aus, dass die ausgeprägten subjektiven Nacken- und lumbalen Beschwerden und demonstrierten abnormen Untersuchungsbefunde der Hals- und Lendenwirbelsäule mit dem fast unauffälligen MRI-Befund der Halswirbelsäule und dem nur geringen pathologischen Befund des MRI im Bereich der Lendenwirbelsäule nur ungenügend erklärt werden könnten (IV-act. 86-7 ff.). Dass die Beschwerden im Lendenbereich nicht bereits seit 2006 bestehen würden, wird im Gutachten nicht bestritten, einzig das Ausmass der Schmerzen könne mit dem Befund des MRI nur unvollständig plausibilisiert werden. Zudem berücksichtigen die Gutachter die diagnostizierten Beeinträchtigungen, indem sie festhalten, dass Tätigkeiten mit häufiger inklinierter und rotierter Körperhaltung nicht mehr vollumfänglich zugemutet werden können. Als leidensadaptierte Tätigkeit werden körperlich leichte Tätigkeiten, die abwechslungsweise sitzend und stehend ausgeübt werden können, ohne dass dabei häufig inklinierte und reklinierte sowie rotierte Körperhaltungen eingenommen werden müssten, beschrieben (IV-act. 86-9 f.). Der Bericht von Dr. D.___ vermag an der gutachterlichen Beurteilung keine Zweifel zu begründen. 2.2.6  Für die Beschwerdeführerin ist es nicht nachvollziehbar, weshalb die Gutachter im Haushaltsbereich auf eine Arbeitsunfähigkeit von bloss 20% kommen, obwohl sich der Gesundheitszustand der Versicherten nachweislich verschlechtert habe. Bezüglich der Rückenschmerzen hätten sich keine Besserungen gezeigt, auch nicht nach der durchgeführten Operation. Zudem seien zu den seit 2006 bestehenden Beschwerden noch Beschwerden im Nackenbereich und psychische Verstimmungen hinzugekommen. Bereits im Abklärungsbericht vom 27. Februar 2006 seien der Beschwerdeführerin Einschränkungen von rund 20% beim Rüsten/Kochen/Anrichten etc., von rund 40% bei der Wohnungspflege und von 10% beim Sortieren der Wäsche etc. attestiert worden (IV-act. 91-1). Für das Kochen, Rüsten, Anrichten sowie die Reinigungsarbeiten in der Küche sei von einer Einschränkung von 50% auszugehen, bei der Wohnungspflege von 60% und bei der Besorgung der Wäsche von 50%. Insgesamt ergebe dies eine Einschränkung von 44.2% welche seit 2006 bestehe (act. G 1, S. 7). 2.2.7  Zunächst ist festzuhalten, dass gemäss Abklärungsbericht Haushalt vom 27. Februar 2006 auch ohne Berücksichtigung der Schadenminderungspflicht von Angehörigen insgesamt eine Einschränkung von lediglich 19.32% resultieren würde (Ernährung: Gewichtung 56.97%, Einschränkung 20%, Behinderung 11.39%; Wohnungspflege: Gewichtung 16.99%, Einschränkung 40%, Behinderung 6.8%; Wäsche und Kleiderpflege: Gewichtung 11.28%, Einschränkung 10%, Behinderung 1.13%; vgl. IV-act. 22-5 f.). Die von der Beschwerdeführerin in der Beschwerde vorgebrachten Einschränkungen entbehren einer hinreichenden medizinischen Grundlage und lassen sich nicht nachvollziehen. Weiter ist zu berücksichtigen, dass vorliegend mit der Dysthymie und der anhaltenden somatoformen Schmerzstörung auch psychiatrische Diagnosen vorliegen. Der Abklärungsbericht an Ort und Stelle ist seiner Natur nach in erster Linie auf die Ermittlung des Ausmasses physisch bedingter Beeinträchtigungen zugeschnitten, weshalb seine grundsätzliche Massgeblichkeit unter Umständen eingeschränkt sein kann, wenn die versicherte Person an psychischen Beschwerden leidet (Urteil des Bundesgerichts vom 27. März 2015, 8C_673/2014, E. 5.1.4 mit Hinweisen). Einerseits ist im Gutachten keine wesentliche Verschlechterung des physischen Gesundheitszustandes mit Auswirkung auf die Arbeitsfähigkeit bzw. auf die angenommene Einsatzfähigkeit im Haushalt festgehalten. Aus psychiatrischer Sicht wird zudem keine zusätzliche Einschränkung im Haushalt geltend gemacht. Somit ist die gutachterlich festgehaltene Einschränkung im Haushalt von 20% nachvollziehbar und stellt auch keinen Wiederspruch zum Abklärungsbericht vom 27. Februar 2006 dar. 2.3  Zusammenfassend vermögen die Vorbringen der Beschwerdeführerin keine Zweifel am nachvollziehbaren MGSG-Gutachten zu begründen. Es besteht kein Bedarf für die Vornahme weiterer medizinischer Abklärungen.</w:t>
      </w:r>
    </w:p>
    <w:p>
      <w:r>
        <w:rPr>
          <w:b/>
        </w:rPr>
        <w:t>E. 3</w:t>
      </w:r>
    </w:p>
    <w:p>
      <w:r>
        <w:t>3.1  Die Beschwerdeführerin bringt vor, dass die psychischen Probleme ausnahmsweise als invalidisierend zu betrachten seien, ihr könne die nötige Willensanstrengung zur Wiederaufnahme einer beruflichen Tätigkeit nicht zugemutet werden (act. G 1, S. 9). Dabei stützt sie sich insbesondere auf das Schreiben von Dr. C.___ vom 17. Dezember 2012 (IV-act. 57-2 f.). 3.2  Ob die psychiatrisch festgehaltenen Einschränkungen als invalidisierend zu berücksichtigen sind, ist nach der neuen Rechtsprechung des Bundesgerichts gemäss BGE 141 V 281 zu beurteilen. Mit diesem Entscheid hat das Bundesgericht das bisherige Regel-/Ausnahmemodell durch ein strukturiertes, normatives Prüfungsraster ersetzt. Anhand eines Katalogs von Indikatoren erfolgt nunmehr eine ergebnisoffene symmetrische Beurteilung des – unter Berücksichtigung leistungshindernder äusserer Belastungsfaktoren einerseits und von Kompensationspotentialen (Ressourcen) andererseits – tatsächlich erreichbaren Leistungsvermögens (E. 3.6). Die geänderte Rechtsprechung bedeutet indes nicht, dass während der Geltungsdauer der Rechtsprechung von BGE 130 V 352 (sog. Überwindbarkeitspraxis) eingeholte Gutachten ihren Beweiswert per se verlieren würden. Vielmehr ist im Rahmen einer gesamthaften Prüfung des Einzelfalls mit seinen spezifischen Gegebenheiten und den erhobenen Rügen entscheidend, ob das abschliessende Abstellen auf die vorhandenen Beweisgrundlagen vor Bundesrecht standhält (Entscheid des Bundesgerichts vom 30, November 2015, 9C_739/2014, E. 2.2 mit Hinweis auf BGE 137 V 210 E. 6). 3.3  Die gutachterlichen Diagnosen einer anhaltenden somatoformen Schmerzstörung (ICD-10: F45.4) und einer Dysthymie (ICD-10: F34.1) wurden sorgfältig und nachvollziehbar erhoben. Zudem decken sie sich mit der Einschätzung der behandelnden Psychiaterin (vgl. IV-act.52-1). 3.4  Der psychiatrische Gutachter Dr. med. F.___, Facharzt für Psychiatrie und Psychotherapie, hält bei seiner Beurteilung zwar fest, dass der Schmerz in Verbindung mit emotionalen Konflikten oder psychosozialen Problemen auftrete. Bei der Beschwerdeführerin liessen sich vor allem psychosoziale Faktoren mit mangelnder Sprachbeherrschung und Verdacht auf mangelnde Integration erheben. Ausserdem sei ihr Ehemann erkrankt und beziehe eine IV-Rente (IV-act. 87-15). Trotzdem kommt der psychiatrische Gutachter zum Schluss, dass ein Überwiegen von psychosozialen Faktoren nicht anzunehmen sei (IV-act. 87-22). Entgegen den Ausführungen der Beschwerdegegnerin (vgl. act. G 1, S. 9) ging der Gutachter somit nicht davon aus, dass die Ursache für die Schmerzstörung die emotionalen und psychosozialen Faktoren seien. 3.5  Der psychiatrische Gutachter hält unter anderem fest, dass bei der Beschwerdeführerin durchaus Ressourcen anzunehmen seien. Bei ihr bestünden nur leichte depressive Verstimmungen, keine wesentlichen Affektstörungen oder Unruhezustände und es liessen sich keine kognitiven und keine formalen oder inhaltlichen Denkstörungen erheben. Auch wirke die Beschwerdeführerin gut kontaktfähig. Trotzdem verrichte sie keine Aktivitäten im Haushalt, mache jedoch fünf Mal täglich Gymnastikübungen, laufe täglich etwa eine Stunde und habe normale Kontakte mit Kolleginnen und Bekannten. Aus psychiatrischer Sicht seien ihr durchaus vermehrte Aktivitäten zumutbar (IV-act. 87-17). Die Beschwerdeführerin verfüge über die notwendigen Ressourcen für den Umgang mit den Schmerzen (IV-act. 87-16). 3.6  Zusammenfassend besteht kein Anlass, bei der Beurteilung der Arbeitsfähigkeit von der beweiskräftigen medizinischen Einschätzung des MGSG-Gutachtens abzuweichen. Es kann davon ausgegangen werden, dass die Beschwerdeführerin bei ihr zumutbarem Aufbringen der nötigen Kräfte uneingeschränkt einer geeigneten Tätigkeit nachgehen könnte. Damit ist in psychischer Hinsicht sowohl in der angestammten Tätigkeit als Hausfrau als auch in einer adaptierten Tätigkeit (Tätigkeit ohne erhöhte emotionale Belastung, ohne erhöhten Zeitdruck [Stressbelastung], ohne erforderliche geistige Flexibilität und ohne überdurchschnittliche Dauerbelastung) von einer Arbeitsfähigkeit von 100% auszugehen (IV-act. 87-18 f.). Insgesamt ist somit von einer Arbeitsfähigkeit als Hausfrau von 80% und in einer adaptierten Tätigkeit von 100% auszugehen (IV-act. 86-13).</w:t>
      </w:r>
    </w:p>
    <w:p>
      <w:r>
        <w:rPr>
          <w:b/>
        </w:rPr>
        <w:t>E. 4</w:t>
      </w:r>
    </w:p>
    <w:p>
      <w:r>
        <w:t>Eine Unverwertbarkeit der Restarbeitsfähigkeit, wie von der Beschwerdeführerin behauptet (vgl. act. G 1, S. 9), ist aufgrund der vorliegenden Einschränkungen auf körperlich leichte Tätigkeiten, die abwechslungsweise sitzend und stehend ausgeübt werden können, ohne dass dabei häufig inklinierte und reklinierte sowie rotierte Körperhaltungen eingenommen werden müssen, sowie Arbeiten ohne erhöhte emotionale Belastung, ohne Stressbelastung, ohne erforderliche geistige Flexibilität und ohne überdurchschnittliche Dauerbelastung (IV-act. 86-13) nicht gegeben. Ob die Beschwerdeführerin für die Invaliditätsbemessung als Vollerwerbstätige, Teilerwerbstätige oder Hausfrau einzustufen ist, kann vorliegend offen bleiben, da bei keiner Bemessungsmethode ein rentenbegründender Invaliditätsgrad resultiert.</w:t>
      </w:r>
    </w:p>
    <w:p>
      <w:r>
        <w:rPr>
          <w:b/>
        </w:rPr>
        <w:t>E. 5</w:t>
      </w:r>
    </w:p>
    <w:p>
      <w:r>
        <w:t>5.1  Nach dem Gesagten ist die Beschwerde vom 15. Januar 2014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in Höhe von Fr. 600.-- aufzuerlegen. Zufolge unentgeltlicher Rechtspflege ist sie von der Bezahlung zu befreien. 5.3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der Beschwerdeführerin hat eine Kostennote über Fr. 4‘681.60 eingereicht. In der vorliegend zu beurteilenden Angelegenheit erscheint dieser Betrag mit Blick auf vergleichbare Fälle überhöht. Angemessen ist eine pauschale Parteientschädigung von Fr. 3‘500.--. Diese ist um einen Fünftel zu kürzen (Art. 31 Abs. 3 des Anwaltsgesetzes, sGS 963.70). Somit hat der Staat die Rechtsvertreterin der Beschwerdeführerin pauschal mit Fr. 2‘800.-- (inklusive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Gerichtsgebühr in der Höhe von Fr. 600.-- zufolge unentgeltlicher Rechtspflege befreit. 3. Der Staat entschädigt die Rechtsvertreterin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